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F67A0" w14:textId="77777777" w:rsidR="006E0923" w:rsidRDefault="006E0923" w:rsidP="006E0923">
      <w:pPr>
        <w:rPr>
          <w:rFonts w:ascii="Verdana" w:hAnsi="Verdana"/>
          <w:b/>
          <w:sz w:val="24"/>
        </w:rPr>
      </w:pPr>
      <w:bookmarkStart w:id="0" w:name="_GoBack"/>
      <w:bookmarkEnd w:id="0"/>
      <w:r>
        <w:rPr>
          <w:rFonts w:ascii="Verdana" w:hAnsi="Verdana"/>
          <w:b/>
          <w:sz w:val="24"/>
        </w:rPr>
        <w:t>Scottish Government GIRFEC Information (March 2016)</w:t>
      </w:r>
    </w:p>
    <w:p w14:paraId="31174363" w14:textId="77777777" w:rsidR="006E0923" w:rsidRDefault="006E0923" w:rsidP="006E0923">
      <w:pPr>
        <w:rPr>
          <w:rFonts w:ascii="Verdana" w:hAnsi="Verdana"/>
          <w:sz w:val="24"/>
        </w:rPr>
      </w:pPr>
    </w:p>
    <w:p w14:paraId="6480F3C5" w14:textId="77777777" w:rsidR="006E0923" w:rsidRPr="00A35596" w:rsidRDefault="006E0923" w:rsidP="00A35596">
      <w:pPr>
        <w:shd w:val="clear" w:color="auto" w:fill="DDD9C3" w:themeFill="background2" w:themeFillShade="E6"/>
        <w:rPr>
          <w:rFonts w:ascii="Verdana" w:hAnsi="Verdana"/>
          <w:b/>
          <w:sz w:val="24"/>
        </w:rPr>
      </w:pPr>
      <w:r w:rsidRPr="00A35596">
        <w:rPr>
          <w:rFonts w:ascii="Verdana" w:hAnsi="Verdana"/>
          <w:b/>
          <w:sz w:val="24"/>
        </w:rPr>
        <w:t xml:space="preserve">General </w:t>
      </w:r>
      <w:r w:rsidR="00A2143D">
        <w:rPr>
          <w:rFonts w:ascii="Verdana" w:hAnsi="Verdana"/>
          <w:b/>
          <w:sz w:val="24"/>
        </w:rPr>
        <w:t>Leaflets</w:t>
      </w:r>
    </w:p>
    <w:p w14:paraId="4214BF5B" w14:textId="77777777" w:rsidR="006E0923" w:rsidRDefault="006E0923" w:rsidP="006E0923">
      <w:pPr>
        <w:rPr>
          <w:rFonts w:ascii="Verdana" w:hAnsi="Verdana"/>
          <w:sz w:val="24"/>
        </w:rPr>
      </w:pPr>
    </w:p>
    <w:p w14:paraId="30FDEA64" w14:textId="77777777" w:rsidR="006E0923" w:rsidRDefault="007F0E06" w:rsidP="006E0923">
      <w:pPr>
        <w:rPr>
          <w:rFonts w:ascii="Verdana" w:hAnsi="Verdana"/>
          <w:sz w:val="24"/>
        </w:rPr>
      </w:pPr>
      <w:hyperlink r:id="rId8" w:history="1">
        <w:r w:rsidR="006E0923">
          <w:rPr>
            <w:rStyle w:val="Hyperlink"/>
            <w:rFonts w:ascii="Verdana" w:hAnsi="Verdana"/>
            <w:sz w:val="24"/>
          </w:rPr>
          <w:t>Getting it Right for Every Child</w:t>
        </w:r>
      </w:hyperlink>
    </w:p>
    <w:p w14:paraId="1815BA20" w14:textId="77777777" w:rsidR="006E0923" w:rsidRDefault="006E0923" w:rsidP="006E0923">
      <w:pPr>
        <w:rPr>
          <w:rFonts w:ascii="Verdana" w:hAnsi="Verdana"/>
          <w:sz w:val="24"/>
        </w:rPr>
      </w:pPr>
      <w:r>
        <w:rPr>
          <w:rFonts w:ascii="Verdana" w:hAnsi="Verdana"/>
          <w:sz w:val="24"/>
        </w:rPr>
        <w:t xml:space="preserve">This leaflet explains </w:t>
      </w:r>
      <w:r>
        <w:rPr>
          <w:rFonts w:ascii="Verdana" w:hAnsi="Verdana"/>
          <w:i/>
          <w:sz w:val="24"/>
        </w:rPr>
        <w:t xml:space="preserve">what the GIRFEC approach is, the principles behind GIRFEC </w:t>
      </w:r>
      <w:r>
        <w:rPr>
          <w:rFonts w:ascii="Verdana" w:hAnsi="Verdana"/>
          <w:sz w:val="24"/>
        </w:rPr>
        <w:t xml:space="preserve">and </w:t>
      </w:r>
      <w:r>
        <w:rPr>
          <w:rFonts w:ascii="Verdana" w:hAnsi="Verdana"/>
          <w:i/>
          <w:sz w:val="24"/>
        </w:rPr>
        <w:t>what it means for children, young people and their families as well as those working in children and adult services</w:t>
      </w:r>
      <w:r>
        <w:rPr>
          <w:rFonts w:ascii="Verdana" w:hAnsi="Verdana"/>
          <w:sz w:val="24"/>
        </w:rPr>
        <w:t>.</w:t>
      </w:r>
    </w:p>
    <w:p w14:paraId="14920F28" w14:textId="77777777" w:rsidR="006E0923" w:rsidRDefault="006E0923" w:rsidP="006E0923">
      <w:pPr>
        <w:rPr>
          <w:rFonts w:ascii="Verdana" w:hAnsi="Verdana"/>
          <w:sz w:val="24"/>
        </w:rPr>
      </w:pPr>
    </w:p>
    <w:p w14:paraId="425C277B" w14:textId="77777777" w:rsidR="006E0923" w:rsidRDefault="007F0E06" w:rsidP="006E0923">
      <w:pPr>
        <w:rPr>
          <w:rStyle w:val="Hyperlink"/>
        </w:rPr>
      </w:pPr>
      <w:hyperlink r:id="rId9" w:history="1">
        <w:r w:rsidR="006E0923">
          <w:rPr>
            <w:rStyle w:val="Hyperlink"/>
            <w:rFonts w:ascii="Verdana" w:hAnsi="Verdana"/>
            <w:sz w:val="24"/>
          </w:rPr>
          <w:t>Understanding Wellbeing</w:t>
        </w:r>
      </w:hyperlink>
    </w:p>
    <w:p w14:paraId="64636B21" w14:textId="77777777" w:rsidR="006E0923" w:rsidRDefault="006E0923" w:rsidP="006E0923">
      <w:r>
        <w:rPr>
          <w:rFonts w:ascii="Verdana" w:hAnsi="Verdana"/>
          <w:sz w:val="24"/>
        </w:rPr>
        <w:t xml:space="preserve">This leaflet describes </w:t>
      </w:r>
      <w:r>
        <w:rPr>
          <w:rFonts w:ascii="Verdana" w:hAnsi="Verdana"/>
          <w:i/>
          <w:sz w:val="24"/>
        </w:rPr>
        <w:t>what wellbeing is in terms of eight indicators</w:t>
      </w:r>
      <w:r>
        <w:rPr>
          <w:rFonts w:ascii="Verdana" w:hAnsi="Verdana"/>
          <w:sz w:val="24"/>
        </w:rPr>
        <w:t xml:space="preserve"> and </w:t>
      </w:r>
      <w:r>
        <w:rPr>
          <w:rFonts w:ascii="Verdana" w:hAnsi="Verdana"/>
          <w:i/>
          <w:sz w:val="24"/>
        </w:rPr>
        <w:t>how the wellbeing indicators are used</w:t>
      </w:r>
      <w:r>
        <w:rPr>
          <w:rFonts w:ascii="Verdana" w:hAnsi="Verdana"/>
          <w:sz w:val="24"/>
        </w:rPr>
        <w:t>.</w:t>
      </w:r>
    </w:p>
    <w:p w14:paraId="5511BBD6" w14:textId="77777777" w:rsidR="006E0923" w:rsidRDefault="006E0923" w:rsidP="006E0923">
      <w:pPr>
        <w:rPr>
          <w:rFonts w:ascii="Verdana" w:hAnsi="Verdana"/>
          <w:sz w:val="24"/>
        </w:rPr>
      </w:pPr>
    </w:p>
    <w:p w14:paraId="245FDB55" w14:textId="77777777" w:rsidR="006E0923" w:rsidRDefault="007F0E06" w:rsidP="006E0923">
      <w:pPr>
        <w:rPr>
          <w:rFonts w:ascii="Verdana" w:hAnsi="Verdana"/>
          <w:sz w:val="24"/>
        </w:rPr>
      </w:pPr>
      <w:hyperlink r:id="rId10" w:history="1">
        <w:r w:rsidR="006E0923">
          <w:rPr>
            <w:rStyle w:val="Hyperlink"/>
            <w:rFonts w:ascii="Verdana" w:hAnsi="Verdana"/>
            <w:sz w:val="24"/>
          </w:rPr>
          <w:t>Named Person</w:t>
        </w:r>
      </w:hyperlink>
    </w:p>
    <w:p w14:paraId="0C6E1683" w14:textId="77777777" w:rsidR="006E0923" w:rsidRDefault="006E0923" w:rsidP="006E0923">
      <w:pPr>
        <w:rPr>
          <w:rFonts w:ascii="Verdana" w:hAnsi="Verdana"/>
          <w:sz w:val="24"/>
        </w:rPr>
      </w:pPr>
      <w:r>
        <w:rPr>
          <w:rFonts w:ascii="Verdana" w:hAnsi="Verdana"/>
          <w:sz w:val="24"/>
        </w:rPr>
        <w:t xml:space="preserve">This leaflet describes the Named Person service and gives key facts about the Named Person role. It also explains </w:t>
      </w:r>
      <w:r>
        <w:rPr>
          <w:rFonts w:ascii="Verdana" w:hAnsi="Verdana"/>
          <w:i/>
          <w:sz w:val="24"/>
        </w:rPr>
        <w:t>what happens when a concern is raised</w:t>
      </w:r>
      <w:r>
        <w:rPr>
          <w:rFonts w:ascii="Verdana" w:hAnsi="Verdana"/>
          <w:sz w:val="24"/>
        </w:rPr>
        <w:t xml:space="preserve"> and </w:t>
      </w:r>
      <w:r>
        <w:rPr>
          <w:rFonts w:ascii="Verdana" w:hAnsi="Verdana"/>
          <w:i/>
          <w:sz w:val="24"/>
        </w:rPr>
        <w:t>who will provide and support Named Persons</w:t>
      </w:r>
      <w:r>
        <w:rPr>
          <w:rFonts w:ascii="Verdana" w:hAnsi="Verdana"/>
          <w:sz w:val="24"/>
        </w:rPr>
        <w:t>.</w:t>
      </w:r>
    </w:p>
    <w:p w14:paraId="76624FC4" w14:textId="77777777" w:rsidR="006E0923" w:rsidRDefault="006E0923" w:rsidP="006E0923">
      <w:pPr>
        <w:rPr>
          <w:rFonts w:ascii="Verdana" w:hAnsi="Verdana"/>
          <w:sz w:val="24"/>
        </w:rPr>
      </w:pPr>
    </w:p>
    <w:p w14:paraId="349B0A8A" w14:textId="77777777" w:rsidR="006E0923" w:rsidRDefault="007F0E06" w:rsidP="006E0923">
      <w:pPr>
        <w:rPr>
          <w:rFonts w:ascii="Verdana" w:hAnsi="Verdana"/>
          <w:sz w:val="24"/>
        </w:rPr>
      </w:pPr>
      <w:hyperlink r:id="rId11" w:history="1">
        <w:r w:rsidR="006E0923">
          <w:rPr>
            <w:rStyle w:val="Hyperlink"/>
            <w:rFonts w:ascii="Verdana" w:hAnsi="Verdana"/>
            <w:sz w:val="24"/>
          </w:rPr>
          <w:t>Child’s Plan</w:t>
        </w:r>
      </w:hyperlink>
    </w:p>
    <w:p w14:paraId="3AF01F2F" w14:textId="77777777" w:rsidR="006E0923" w:rsidRDefault="006E0923" w:rsidP="006E0923">
      <w:pPr>
        <w:rPr>
          <w:rFonts w:ascii="Verdana" w:hAnsi="Verdana"/>
          <w:sz w:val="24"/>
        </w:rPr>
      </w:pPr>
      <w:r>
        <w:rPr>
          <w:rFonts w:ascii="Verdana" w:hAnsi="Verdana"/>
          <w:sz w:val="24"/>
        </w:rPr>
        <w:t xml:space="preserve">This leaflet explains </w:t>
      </w:r>
      <w:r>
        <w:rPr>
          <w:rFonts w:ascii="Verdana" w:hAnsi="Verdana"/>
          <w:i/>
          <w:sz w:val="24"/>
        </w:rPr>
        <w:t>what a Child’s Plan is</w:t>
      </w:r>
      <w:r>
        <w:rPr>
          <w:rFonts w:ascii="Verdana" w:hAnsi="Verdana"/>
          <w:sz w:val="24"/>
        </w:rPr>
        <w:t xml:space="preserve"> and </w:t>
      </w:r>
      <w:r>
        <w:rPr>
          <w:rFonts w:ascii="Verdana" w:hAnsi="Verdana"/>
          <w:i/>
          <w:sz w:val="24"/>
        </w:rPr>
        <w:t>who manages a Child’s Plan</w:t>
      </w:r>
      <w:r>
        <w:rPr>
          <w:rFonts w:ascii="Verdana" w:hAnsi="Verdana"/>
          <w:sz w:val="24"/>
        </w:rPr>
        <w:t>.</w:t>
      </w:r>
    </w:p>
    <w:p w14:paraId="28E919C1" w14:textId="77777777" w:rsidR="00A35596" w:rsidRDefault="00A35596" w:rsidP="006E0923">
      <w:pPr>
        <w:rPr>
          <w:rFonts w:ascii="Verdana" w:hAnsi="Verdana"/>
          <w:sz w:val="24"/>
        </w:rPr>
      </w:pPr>
    </w:p>
    <w:p w14:paraId="118DC620" w14:textId="77777777" w:rsidR="00A35596" w:rsidRDefault="007F0E06" w:rsidP="006E0923">
      <w:pPr>
        <w:rPr>
          <w:rFonts w:ascii="Verdana" w:hAnsi="Verdana"/>
          <w:sz w:val="24"/>
        </w:rPr>
      </w:pPr>
      <w:hyperlink r:id="rId12" w:history="1">
        <w:r w:rsidR="00A35596" w:rsidRPr="00A35596">
          <w:rPr>
            <w:rStyle w:val="Hyperlink"/>
            <w:rFonts w:ascii="Verdana" w:hAnsi="Verdana"/>
            <w:sz w:val="24"/>
          </w:rPr>
          <w:t>Children and Young People (Scotland) Act 2014</w:t>
        </w:r>
      </w:hyperlink>
    </w:p>
    <w:p w14:paraId="06F67845" w14:textId="77777777" w:rsidR="006E0923" w:rsidRDefault="006E0923" w:rsidP="006E0923">
      <w:pPr>
        <w:rPr>
          <w:rFonts w:ascii="Verdana" w:hAnsi="Verdana"/>
          <w:b/>
          <w:sz w:val="24"/>
          <w:u w:val="single"/>
        </w:rPr>
      </w:pPr>
    </w:p>
    <w:p w14:paraId="38709CD9" w14:textId="77777777" w:rsidR="006E0923" w:rsidRPr="00A35596" w:rsidRDefault="006E0923" w:rsidP="00A35596">
      <w:pPr>
        <w:shd w:val="clear" w:color="auto" w:fill="DDD9C3" w:themeFill="background2" w:themeFillShade="E6"/>
        <w:rPr>
          <w:rFonts w:ascii="Verdana" w:hAnsi="Verdana"/>
          <w:b/>
          <w:sz w:val="24"/>
        </w:rPr>
      </w:pPr>
      <w:r w:rsidRPr="00A35596">
        <w:rPr>
          <w:rFonts w:ascii="Verdana" w:hAnsi="Verdana"/>
          <w:b/>
          <w:sz w:val="24"/>
        </w:rPr>
        <w:t>Practical Tools</w:t>
      </w:r>
    </w:p>
    <w:p w14:paraId="533E09FF" w14:textId="77777777" w:rsidR="006E0923" w:rsidRDefault="006E0923" w:rsidP="006E0923">
      <w:pPr>
        <w:rPr>
          <w:rFonts w:ascii="Verdana" w:hAnsi="Verdana"/>
          <w:sz w:val="24"/>
        </w:rPr>
      </w:pPr>
    </w:p>
    <w:p w14:paraId="0E125B53" w14:textId="77777777" w:rsidR="006E0923" w:rsidRDefault="007F0E06" w:rsidP="006E0923">
      <w:pPr>
        <w:rPr>
          <w:rFonts w:ascii="Verdana" w:hAnsi="Verdana"/>
          <w:sz w:val="24"/>
        </w:rPr>
      </w:pPr>
      <w:hyperlink r:id="rId13" w:history="1">
        <w:r w:rsidR="006E0923">
          <w:rPr>
            <w:rStyle w:val="Hyperlink"/>
            <w:rFonts w:ascii="Verdana" w:hAnsi="Verdana"/>
            <w:sz w:val="24"/>
          </w:rPr>
          <w:t>Interactive Guide for Practitioners to evaluate wellbeing (tailored version for the third sector)</w:t>
        </w:r>
      </w:hyperlink>
      <w:r w:rsidR="006E0923">
        <w:rPr>
          <w:rFonts w:ascii="Verdana" w:hAnsi="Verdana"/>
          <w:sz w:val="24"/>
        </w:rPr>
        <w:t xml:space="preserve"> with </w:t>
      </w:r>
      <w:hyperlink r:id="rId14" w:history="1">
        <w:r w:rsidR="006E0923" w:rsidRPr="006E0923">
          <w:rPr>
            <w:rStyle w:val="Hyperlink"/>
            <w:rFonts w:ascii="Verdana" w:hAnsi="Verdana"/>
            <w:sz w:val="24"/>
          </w:rPr>
          <w:t>How to Guide</w:t>
        </w:r>
      </w:hyperlink>
    </w:p>
    <w:p w14:paraId="714630E7" w14:textId="77777777" w:rsidR="006E0923" w:rsidRDefault="006E0923" w:rsidP="006E0923">
      <w:pPr>
        <w:rPr>
          <w:rFonts w:ascii="Verdana" w:hAnsi="Verdana"/>
          <w:sz w:val="24"/>
        </w:rPr>
      </w:pPr>
      <w:r>
        <w:rPr>
          <w:rFonts w:ascii="Verdana" w:hAnsi="Verdana"/>
          <w:sz w:val="24"/>
        </w:rPr>
        <w:t>The GIRFEC approach recognises that children and young people do best when they are well supported by their parents, family and community, and by the universal services of health and education.</w:t>
      </w:r>
    </w:p>
    <w:p w14:paraId="2CCEFF23" w14:textId="77777777" w:rsidR="006E0923" w:rsidRDefault="006E0923" w:rsidP="006E0923">
      <w:pPr>
        <w:rPr>
          <w:rFonts w:ascii="Verdana" w:hAnsi="Verdana"/>
          <w:sz w:val="24"/>
        </w:rPr>
      </w:pPr>
    </w:p>
    <w:p w14:paraId="1C1EA6E0" w14:textId="77777777" w:rsidR="006E0923" w:rsidRDefault="006E0923" w:rsidP="006E0923">
      <w:pPr>
        <w:rPr>
          <w:rFonts w:ascii="Verdana" w:hAnsi="Verdana"/>
          <w:sz w:val="24"/>
        </w:rPr>
      </w:pPr>
      <w:r>
        <w:rPr>
          <w:rFonts w:ascii="Verdana" w:hAnsi="Verdana"/>
          <w:sz w:val="24"/>
        </w:rPr>
        <w:t>Third sector organisations play a significant role in communities and working in partnership with universal services can be key to promoting, supporting and safeguarding wellbeing for many children and young people.</w:t>
      </w:r>
    </w:p>
    <w:p w14:paraId="5EF4ABF3" w14:textId="77777777" w:rsidR="006E0923" w:rsidRDefault="006E0923" w:rsidP="006E0923">
      <w:pPr>
        <w:rPr>
          <w:rFonts w:ascii="Verdana" w:hAnsi="Verdana"/>
          <w:sz w:val="24"/>
        </w:rPr>
      </w:pPr>
    </w:p>
    <w:p w14:paraId="6B757B8A" w14:textId="77777777" w:rsidR="006E0923" w:rsidRDefault="006E0923" w:rsidP="006E0923">
      <w:pPr>
        <w:rPr>
          <w:rFonts w:ascii="Verdana" w:hAnsi="Verdana"/>
          <w:sz w:val="24"/>
        </w:rPr>
      </w:pPr>
      <w:r>
        <w:rPr>
          <w:rFonts w:ascii="Verdana" w:hAnsi="Verdana"/>
          <w:sz w:val="24"/>
        </w:rPr>
        <w:t>This version of the interactive guide to evaluating wellbeing is aimed at supporting third sector organisations to consider wellbeing in the context of their organisation and service to improve outcomes for service users. It will support dialogue between workers to improve understanding of wellbeing, contribute to improvement planning and strengthen the shared language of partnership working within the GIRFEC framework.</w:t>
      </w:r>
    </w:p>
    <w:p w14:paraId="15115D6A" w14:textId="77777777" w:rsidR="00015CBF" w:rsidRDefault="00015CBF"/>
    <w:p w14:paraId="56395DC9" w14:textId="77777777" w:rsidR="006E0923" w:rsidRDefault="007F0E06" w:rsidP="006E0923">
      <w:pPr>
        <w:rPr>
          <w:rFonts w:ascii="Verdana" w:hAnsi="Verdana"/>
          <w:sz w:val="24"/>
          <w:szCs w:val="24"/>
        </w:rPr>
      </w:pPr>
      <w:hyperlink r:id="rId15" w:history="1">
        <w:r w:rsidR="006E0923" w:rsidRPr="006E0923">
          <w:rPr>
            <w:rStyle w:val="Hyperlink"/>
            <w:rFonts w:ascii="Verdana" w:hAnsi="Verdana"/>
            <w:sz w:val="24"/>
            <w:szCs w:val="24"/>
          </w:rPr>
          <w:t>National Practice Model</w:t>
        </w:r>
      </w:hyperlink>
    </w:p>
    <w:p w14:paraId="71CFBD49" w14:textId="77777777" w:rsidR="006E0923" w:rsidRPr="00A35596" w:rsidRDefault="006E0923" w:rsidP="006E0923">
      <w:pPr>
        <w:rPr>
          <w:rFonts w:ascii="Verdana" w:hAnsi="Verdana"/>
          <w:sz w:val="24"/>
          <w:szCs w:val="24"/>
        </w:rPr>
      </w:pPr>
      <w:r w:rsidRPr="006E0923">
        <w:rPr>
          <w:rFonts w:ascii="Verdana" w:hAnsi="Verdana"/>
          <w:sz w:val="24"/>
          <w:szCs w:val="24"/>
        </w:rPr>
        <w:lastRenderedPageBreak/>
        <w:t xml:space="preserve">The National Practice Model is a dynamic and evolving process of assessment, analysis, action and review, and a way to identify outcomes and solutions for individual children or young people. It allows practitioners to meet the </w:t>
      </w:r>
      <w:r w:rsidRPr="006E0923">
        <w:rPr>
          <w:rFonts w:ascii="Verdana" w:hAnsi="Verdana"/>
          <w:i/>
          <w:iCs/>
          <w:sz w:val="24"/>
          <w:szCs w:val="24"/>
        </w:rPr>
        <w:t>Getting it right for every child</w:t>
      </w:r>
      <w:r w:rsidRPr="006E0923">
        <w:rPr>
          <w:rFonts w:ascii="Verdana" w:hAnsi="Verdana"/>
          <w:sz w:val="24"/>
          <w:szCs w:val="24"/>
        </w:rPr>
        <w:t xml:space="preserve"> core values and </w:t>
      </w:r>
      <w:r w:rsidRPr="00A35596">
        <w:rPr>
          <w:rFonts w:ascii="Verdana" w:hAnsi="Verdana"/>
          <w:sz w:val="24"/>
          <w:szCs w:val="24"/>
        </w:rPr>
        <w:t xml:space="preserve">principles in an </w:t>
      </w:r>
      <w:r w:rsidRPr="00A35596">
        <w:rPr>
          <w:rFonts w:ascii="Verdana" w:hAnsi="Verdana"/>
          <w:bCs/>
          <w:sz w:val="24"/>
          <w:szCs w:val="24"/>
        </w:rPr>
        <w:t>appropriate</w:t>
      </w:r>
      <w:r w:rsidRPr="00A35596">
        <w:rPr>
          <w:rFonts w:ascii="Verdana" w:hAnsi="Verdana"/>
          <w:sz w:val="24"/>
          <w:szCs w:val="24"/>
        </w:rPr>
        <w:t xml:space="preserve">, </w:t>
      </w:r>
      <w:r w:rsidRPr="00A35596">
        <w:rPr>
          <w:rFonts w:ascii="Verdana" w:hAnsi="Verdana"/>
          <w:bCs/>
          <w:sz w:val="24"/>
          <w:szCs w:val="24"/>
        </w:rPr>
        <w:t>proportionate</w:t>
      </w:r>
      <w:r w:rsidRPr="00A35596">
        <w:rPr>
          <w:rFonts w:ascii="Verdana" w:hAnsi="Verdana"/>
          <w:sz w:val="24"/>
          <w:szCs w:val="24"/>
        </w:rPr>
        <w:t xml:space="preserve"> and </w:t>
      </w:r>
      <w:r w:rsidRPr="00A35596">
        <w:rPr>
          <w:rFonts w:ascii="Verdana" w:hAnsi="Verdana"/>
          <w:bCs/>
          <w:sz w:val="24"/>
          <w:szCs w:val="24"/>
        </w:rPr>
        <w:t>timely</w:t>
      </w:r>
      <w:r w:rsidRPr="00A35596">
        <w:rPr>
          <w:rFonts w:ascii="Verdana" w:hAnsi="Verdana"/>
          <w:sz w:val="24"/>
          <w:szCs w:val="24"/>
        </w:rPr>
        <w:t xml:space="preserve"> way.</w:t>
      </w:r>
    </w:p>
    <w:p w14:paraId="499D8E7B" w14:textId="77777777" w:rsidR="006E0923" w:rsidRDefault="006E0923" w:rsidP="006E0923">
      <w:pPr>
        <w:rPr>
          <w:rFonts w:ascii="Verdana" w:hAnsi="Verdana"/>
          <w:sz w:val="24"/>
          <w:szCs w:val="24"/>
        </w:rPr>
      </w:pPr>
    </w:p>
    <w:p w14:paraId="3C6FF35A" w14:textId="77777777" w:rsidR="00A35596" w:rsidRPr="006E0923" w:rsidRDefault="00A35596" w:rsidP="006E0923">
      <w:pPr>
        <w:rPr>
          <w:rFonts w:ascii="Verdana" w:hAnsi="Verdana"/>
          <w:sz w:val="24"/>
          <w:szCs w:val="24"/>
        </w:rPr>
      </w:pPr>
      <w:r>
        <w:rPr>
          <w:rFonts w:ascii="Verdana" w:hAnsi="Verdana"/>
          <w:sz w:val="24"/>
          <w:szCs w:val="24"/>
        </w:rPr>
        <w:t>Diagrams related to National Practice Model:</w:t>
      </w:r>
    </w:p>
    <w:p w14:paraId="2DD7A866" w14:textId="77777777" w:rsidR="006E0923" w:rsidRPr="006E0923" w:rsidRDefault="007F0E06" w:rsidP="006E0923">
      <w:pPr>
        <w:rPr>
          <w:rFonts w:ascii="Verdana" w:hAnsi="Verdana"/>
          <w:sz w:val="24"/>
          <w:szCs w:val="24"/>
        </w:rPr>
      </w:pPr>
      <w:hyperlink r:id="rId16" w:history="1">
        <w:r w:rsidR="006E0923" w:rsidRPr="006E0923">
          <w:rPr>
            <w:rStyle w:val="Hyperlink"/>
            <w:rFonts w:ascii="Verdana" w:hAnsi="Verdana"/>
            <w:sz w:val="24"/>
            <w:szCs w:val="24"/>
          </w:rPr>
          <w:t>Wellbeing Wheel</w:t>
        </w:r>
      </w:hyperlink>
    </w:p>
    <w:p w14:paraId="45642FB0" w14:textId="77777777" w:rsidR="006E0923" w:rsidRPr="006E0923" w:rsidRDefault="007F0E06" w:rsidP="006E0923">
      <w:pPr>
        <w:rPr>
          <w:rFonts w:ascii="Verdana" w:hAnsi="Verdana"/>
          <w:sz w:val="24"/>
          <w:szCs w:val="24"/>
        </w:rPr>
      </w:pPr>
      <w:hyperlink r:id="rId17" w:history="1">
        <w:r w:rsidR="006E0923" w:rsidRPr="006E0923">
          <w:rPr>
            <w:rStyle w:val="Hyperlink"/>
            <w:rFonts w:ascii="Verdana" w:hAnsi="Verdana"/>
            <w:sz w:val="24"/>
            <w:szCs w:val="24"/>
          </w:rPr>
          <w:t>Child at the centre (spiral)</w:t>
        </w:r>
      </w:hyperlink>
    </w:p>
    <w:p w14:paraId="2F865C96" w14:textId="77777777" w:rsidR="006E0923" w:rsidRPr="006E0923" w:rsidRDefault="007F0E06" w:rsidP="006E0923">
      <w:pPr>
        <w:rPr>
          <w:rFonts w:ascii="Verdana" w:hAnsi="Verdana"/>
          <w:sz w:val="24"/>
          <w:szCs w:val="24"/>
        </w:rPr>
      </w:pPr>
      <w:hyperlink r:id="rId18" w:history="1">
        <w:r w:rsidR="006E0923" w:rsidRPr="006E0923">
          <w:rPr>
            <w:rStyle w:val="Hyperlink"/>
            <w:rFonts w:ascii="Verdana" w:hAnsi="Verdana"/>
            <w:sz w:val="24"/>
            <w:szCs w:val="24"/>
          </w:rPr>
          <w:t>My World Triangle</w:t>
        </w:r>
      </w:hyperlink>
    </w:p>
    <w:p w14:paraId="509AC4AD" w14:textId="77777777" w:rsidR="006E0923" w:rsidRPr="006E0923" w:rsidRDefault="007F0E06" w:rsidP="006E0923">
      <w:pPr>
        <w:rPr>
          <w:rFonts w:ascii="Verdana" w:hAnsi="Verdana"/>
          <w:sz w:val="24"/>
          <w:szCs w:val="24"/>
        </w:rPr>
      </w:pPr>
      <w:hyperlink r:id="rId19" w:history="1">
        <w:r w:rsidR="006E0923" w:rsidRPr="006E0923">
          <w:rPr>
            <w:rStyle w:val="Hyperlink"/>
            <w:rFonts w:ascii="Verdana" w:hAnsi="Verdana"/>
            <w:sz w:val="24"/>
            <w:szCs w:val="24"/>
          </w:rPr>
          <w:t>Expanded my world triangle - How I grow and develop</w:t>
        </w:r>
      </w:hyperlink>
    </w:p>
    <w:p w14:paraId="5C78070C" w14:textId="77777777" w:rsidR="006E0923" w:rsidRPr="006E0923" w:rsidRDefault="007F0E06" w:rsidP="006E0923">
      <w:pPr>
        <w:rPr>
          <w:rFonts w:ascii="Verdana" w:hAnsi="Verdana"/>
          <w:sz w:val="24"/>
          <w:szCs w:val="24"/>
        </w:rPr>
      </w:pPr>
      <w:hyperlink r:id="rId20" w:history="1">
        <w:r w:rsidR="006E0923" w:rsidRPr="006E0923">
          <w:rPr>
            <w:rStyle w:val="Hyperlink"/>
            <w:rFonts w:ascii="Verdana" w:hAnsi="Verdana"/>
            <w:sz w:val="24"/>
            <w:szCs w:val="24"/>
          </w:rPr>
          <w:t>Expanded my world triangle - What I need</w:t>
        </w:r>
      </w:hyperlink>
    </w:p>
    <w:p w14:paraId="03B34E46" w14:textId="77777777" w:rsidR="006E0923" w:rsidRPr="006E0923" w:rsidRDefault="007F0E06" w:rsidP="006E0923">
      <w:pPr>
        <w:rPr>
          <w:rFonts w:ascii="Verdana" w:hAnsi="Verdana"/>
          <w:sz w:val="24"/>
          <w:szCs w:val="24"/>
        </w:rPr>
      </w:pPr>
      <w:hyperlink r:id="rId21" w:history="1">
        <w:r w:rsidR="006E0923" w:rsidRPr="006E0923">
          <w:rPr>
            <w:rStyle w:val="Hyperlink"/>
            <w:rFonts w:ascii="Verdana" w:hAnsi="Verdana"/>
            <w:sz w:val="24"/>
            <w:szCs w:val="24"/>
          </w:rPr>
          <w:t>Expanded my world triangle - My wider world</w:t>
        </w:r>
      </w:hyperlink>
    </w:p>
    <w:p w14:paraId="10CE9106" w14:textId="77777777" w:rsidR="006E0923" w:rsidRPr="006E0923" w:rsidRDefault="006E0923">
      <w:pPr>
        <w:rPr>
          <w:rFonts w:ascii="Verdana" w:hAnsi="Verdana"/>
          <w:sz w:val="24"/>
          <w:szCs w:val="24"/>
        </w:rPr>
      </w:pPr>
    </w:p>
    <w:p w14:paraId="5F9E527E" w14:textId="77777777" w:rsidR="006E0923" w:rsidRPr="00A35596" w:rsidRDefault="006E0923" w:rsidP="00A35596">
      <w:pPr>
        <w:shd w:val="clear" w:color="auto" w:fill="DDD9C3" w:themeFill="background2" w:themeFillShade="E6"/>
        <w:rPr>
          <w:rFonts w:ascii="Verdana" w:hAnsi="Verdana"/>
          <w:b/>
          <w:sz w:val="24"/>
          <w:szCs w:val="24"/>
        </w:rPr>
      </w:pPr>
      <w:r w:rsidRPr="00A35596">
        <w:rPr>
          <w:rFonts w:ascii="Verdana" w:hAnsi="Verdana"/>
          <w:b/>
          <w:sz w:val="24"/>
          <w:szCs w:val="24"/>
        </w:rPr>
        <w:t>Case Studies (videos)</w:t>
      </w:r>
    </w:p>
    <w:p w14:paraId="57CF9845" w14:textId="77777777" w:rsidR="006E0923" w:rsidRDefault="007F0E06">
      <w:pPr>
        <w:rPr>
          <w:rFonts w:ascii="Verdana" w:hAnsi="Verdana"/>
          <w:sz w:val="24"/>
          <w:szCs w:val="24"/>
        </w:rPr>
      </w:pPr>
      <w:hyperlink r:id="rId22" w:history="1">
        <w:r w:rsidR="00A35596" w:rsidRPr="00A35596">
          <w:rPr>
            <w:rStyle w:val="Hyperlink"/>
            <w:rFonts w:ascii="Verdana" w:hAnsi="Verdana"/>
            <w:sz w:val="24"/>
            <w:szCs w:val="24"/>
          </w:rPr>
          <w:t>Ryan’s story</w:t>
        </w:r>
      </w:hyperlink>
    </w:p>
    <w:p w14:paraId="52116981" w14:textId="77777777" w:rsidR="00A35596" w:rsidRDefault="00A35596">
      <w:pPr>
        <w:rPr>
          <w:rFonts w:ascii="Verdana" w:hAnsi="Verdana"/>
          <w:sz w:val="24"/>
          <w:szCs w:val="24"/>
        </w:rPr>
      </w:pPr>
      <w:r w:rsidRPr="00A35596">
        <w:rPr>
          <w:rFonts w:ascii="Verdana" w:hAnsi="Verdana"/>
          <w:sz w:val="24"/>
          <w:szCs w:val="24"/>
        </w:rPr>
        <w:t>Video case study that shows how the GIRFEC approach can help young people and their families get back on track</w:t>
      </w:r>
    </w:p>
    <w:p w14:paraId="01095CEC" w14:textId="77777777" w:rsidR="00A35596" w:rsidRDefault="00A35596">
      <w:pPr>
        <w:rPr>
          <w:rFonts w:ascii="Verdana" w:hAnsi="Verdana"/>
          <w:sz w:val="24"/>
          <w:szCs w:val="24"/>
        </w:rPr>
      </w:pPr>
    </w:p>
    <w:p w14:paraId="5F3E8227" w14:textId="77777777" w:rsidR="00A35596" w:rsidRPr="00A35596" w:rsidRDefault="00A35596">
      <w:pPr>
        <w:rPr>
          <w:rStyle w:val="Hyperlink"/>
          <w:rFonts w:ascii="Verdana" w:hAnsi="Verdana"/>
          <w:sz w:val="24"/>
          <w:szCs w:val="24"/>
        </w:rPr>
      </w:pPr>
      <w:r>
        <w:rPr>
          <w:rFonts w:ascii="Verdana" w:hAnsi="Verdana"/>
          <w:sz w:val="24"/>
          <w:szCs w:val="24"/>
        </w:rPr>
        <w:fldChar w:fldCharType="begin"/>
      </w:r>
      <w:r>
        <w:rPr>
          <w:rFonts w:ascii="Verdana" w:hAnsi="Verdana"/>
          <w:sz w:val="24"/>
          <w:szCs w:val="24"/>
        </w:rPr>
        <w:instrText xml:space="preserve"> HYPERLINK "http://www.gov.scot/Topics/People/Young-People/gettingitright/resources/case-studies/ella" </w:instrText>
      </w:r>
      <w:r>
        <w:rPr>
          <w:rFonts w:ascii="Verdana" w:hAnsi="Verdana"/>
          <w:sz w:val="24"/>
          <w:szCs w:val="24"/>
        </w:rPr>
        <w:fldChar w:fldCharType="separate"/>
      </w:r>
      <w:r w:rsidR="00055878">
        <w:rPr>
          <w:rStyle w:val="Hyperlink"/>
          <w:rFonts w:ascii="Verdana" w:hAnsi="Verdana"/>
          <w:sz w:val="24"/>
          <w:szCs w:val="24"/>
        </w:rPr>
        <w:t>Ella</w:t>
      </w:r>
      <w:r w:rsidRPr="00A35596">
        <w:rPr>
          <w:rStyle w:val="Hyperlink"/>
          <w:rFonts w:ascii="Verdana" w:hAnsi="Verdana"/>
          <w:sz w:val="24"/>
          <w:szCs w:val="24"/>
        </w:rPr>
        <w:t>’s story</w:t>
      </w:r>
    </w:p>
    <w:p w14:paraId="7C1409C0" w14:textId="77777777" w:rsidR="00A35596" w:rsidRDefault="00A35596">
      <w:pPr>
        <w:rPr>
          <w:rFonts w:ascii="Verdana" w:hAnsi="Verdana"/>
          <w:sz w:val="24"/>
          <w:szCs w:val="24"/>
        </w:rPr>
      </w:pPr>
      <w:r>
        <w:rPr>
          <w:rFonts w:ascii="Verdana" w:hAnsi="Verdana"/>
          <w:sz w:val="24"/>
          <w:szCs w:val="24"/>
        </w:rPr>
        <w:fldChar w:fldCharType="end"/>
      </w:r>
      <w:r w:rsidRPr="00A35596">
        <w:t xml:space="preserve"> </w:t>
      </w:r>
      <w:r w:rsidRPr="00A35596">
        <w:rPr>
          <w:rFonts w:ascii="Verdana" w:hAnsi="Verdana"/>
          <w:sz w:val="24"/>
          <w:szCs w:val="24"/>
        </w:rPr>
        <w:t>How the Named Person and Lead Professional worked together to co-ordinate support for Ella and her family</w:t>
      </w:r>
    </w:p>
    <w:p w14:paraId="27C71286" w14:textId="77777777" w:rsidR="00A35596" w:rsidRDefault="00A35596">
      <w:pPr>
        <w:rPr>
          <w:rFonts w:ascii="Verdana" w:hAnsi="Verdana"/>
          <w:sz w:val="24"/>
          <w:szCs w:val="24"/>
        </w:rPr>
      </w:pPr>
    </w:p>
    <w:p w14:paraId="1B1E5741" w14:textId="77777777" w:rsidR="00A35596" w:rsidRDefault="00A35596">
      <w:pPr>
        <w:rPr>
          <w:rFonts w:ascii="Verdana" w:hAnsi="Verdana"/>
          <w:sz w:val="24"/>
          <w:szCs w:val="24"/>
        </w:rPr>
      </w:pPr>
      <w:r>
        <w:rPr>
          <w:rFonts w:ascii="Verdana" w:hAnsi="Verdana"/>
          <w:sz w:val="24"/>
          <w:szCs w:val="24"/>
        </w:rPr>
        <w:t xml:space="preserve">More case studies can be found here. </w:t>
      </w:r>
      <w:hyperlink r:id="rId23" w:history="1">
        <w:r w:rsidRPr="00827490">
          <w:rPr>
            <w:rStyle w:val="Hyperlink"/>
            <w:rFonts w:ascii="Verdana" w:hAnsi="Verdana"/>
            <w:sz w:val="24"/>
            <w:szCs w:val="24"/>
          </w:rPr>
          <w:t>http://www.gov.scot/Topics/People/Young-People/gettingitright/resources/case-studies</w:t>
        </w:r>
      </w:hyperlink>
    </w:p>
    <w:p w14:paraId="76061168" w14:textId="77777777" w:rsidR="00A35596" w:rsidRDefault="00A35596">
      <w:pPr>
        <w:rPr>
          <w:rFonts w:ascii="Verdana" w:hAnsi="Verdana"/>
          <w:sz w:val="24"/>
          <w:szCs w:val="24"/>
        </w:rPr>
      </w:pPr>
    </w:p>
    <w:p w14:paraId="61D6B6D8" w14:textId="77777777" w:rsidR="00A35596" w:rsidRPr="00A35596" w:rsidRDefault="00A35596">
      <w:pPr>
        <w:rPr>
          <w:rFonts w:ascii="Verdana" w:hAnsi="Verdana"/>
          <w:sz w:val="24"/>
          <w:szCs w:val="24"/>
        </w:rPr>
      </w:pPr>
    </w:p>
    <w:sectPr w:rsidR="00A35596" w:rsidRPr="00A35596" w:rsidSect="00E2280D">
      <w:pgSz w:w="11907" w:h="16840"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923"/>
    <w:rsid w:val="00015CBF"/>
    <w:rsid w:val="00055878"/>
    <w:rsid w:val="002D6FCC"/>
    <w:rsid w:val="006E0923"/>
    <w:rsid w:val="007F0E06"/>
    <w:rsid w:val="00A2143D"/>
    <w:rsid w:val="00A35596"/>
    <w:rsid w:val="00AD1297"/>
    <w:rsid w:val="00E22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639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z w:val="24"/>
        <w:szCs w:val="24"/>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923"/>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923"/>
    <w:rPr>
      <w:color w:val="0000FF" w:themeColor="hyperlink"/>
      <w:u w:val="single"/>
    </w:rPr>
  </w:style>
  <w:style w:type="character" w:styleId="FollowedHyperlink">
    <w:name w:val="FollowedHyperlink"/>
    <w:basedOn w:val="DefaultParagraphFont"/>
    <w:rsid w:val="006E09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 w:val="24"/>
        <w:szCs w:val="24"/>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923"/>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923"/>
    <w:rPr>
      <w:color w:val="0000FF" w:themeColor="hyperlink"/>
      <w:u w:val="single"/>
    </w:rPr>
  </w:style>
  <w:style w:type="character" w:styleId="FollowedHyperlink">
    <w:name w:val="FollowedHyperlink"/>
    <w:basedOn w:val="DefaultParagraphFont"/>
    <w:rsid w:val="006E09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349870">
      <w:bodyDiv w:val="1"/>
      <w:marLeft w:val="0"/>
      <w:marRight w:val="0"/>
      <w:marTop w:val="0"/>
      <w:marBottom w:val="0"/>
      <w:divBdr>
        <w:top w:val="none" w:sz="0" w:space="0" w:color="auto"/>
        <w:left w:val="none" w:sz="0" w:space="0" w:color="auto"/>
        <w:bottom w:val="none" w:sz="0" w:space="0" w:color="auto"/>
        <w:right w:val="none" w:sz="0" w:space="0" w:color="auto"/>
      </w:divBdr>
      <w:divsChild>
        <w:div w:id="1037971981">
          <w:marLeft w:val="0"/>
          <w:marRight w:val="0"/>
          <w:marTop w:val="0"/>
          <w:marBottom w:val="0"/>
          <w:divBdr>
            <w:top w:val="none" w:sz="0" w:space="0" w:color="auto"/>
            <w:left w:val="none" w:sz="0" w:space="0" w:color="auto"/>
            <w:bottom w:val="none" w:sz="0" w:space="0" w:color="auto"/>
            <w:right w:val="none" w:sz="0" w:space="0" w:color="auto"/>
          </w:divBdr>
          <w:divsChild>
            <w:div w:id="860127049">
              <w:marLeft w:val="0"/>
              <w:marRight w:val="0"/>
              <w:marTop w:val="0"/>
              <w:marBottom w:val="0"/>
              <w:divBdr>
                <w:top w:val="none" w:sz="0" w:space="0" w:color="auto"/>
                <w:left w:val="none" w:sz="0" w:space="0" w:color="auto"/>
                <w:bottom w:val="none" w:sz="0" w:space="0" w:color="auto"/>
                <w:right w:val="none" w:sz="0" w:space="0" w:color="auto"/>
              </w:divBdr>
              <w:divsChild>
                <w:div w:id="564334941">
                  <w:marLeft w:val="2985"/>
                  <w:marRight w:val="2985"/>
                  <w:marTop w:val="0"/>
                  <w:marBottom w:val="0"/>
                  <w:divBdr>
                    <w:top w:val="none" w:sz="0" w:space="0" w:color="auto"/>
                    <w:left w:val="none" w:sz="0" w:space="0" w:color="auto"/>
                    <w:bottom w:val="none" w:sz="0" w:space="0" w:color="auto"/>
                    <w:right w:val="none" w:sz="0" w:space="0" w:color="auto"/>
                  </w:divBdr>
                  <w:divsChild>
                    <w:div w:id="102193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66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cot/Resource/0049/00498272.pdf" TargetMode="External"/><Relationship Id="rId13" Type="http://schemas.openxmlformats.org/officeDocument/2006/relationships/hyperlink" Target="http://www.gov.scot/Resource/0044/00446939.pptx" TargetMode="External"/><Relationship Id="rId18" Type="http://schemas.openxmlformats.org/officeDocument/2006/relationships/hyperlink" Target="http://www.gov.scot/Resource/0043/00438642.jpg" TargetMode="External"/><Relationship Id="rId3" Type="http://schemas.openxmlformats.org/officeDocument/2006/relationships/customXml" Target="../customXml/item3.xml"/><Relationship Id="rId21" Type="http://schemas.openxmlformats.org/officeDocument/2006/relationships/hyperlink" Target="http://www.gov.scot/Resource/0043/00438645.jpg" TargetMode="External"/><Relationship Id="rId7" Type="http://schemas.openxmlformats.org/officeDocument/2006/relationships/webSettings" Target="webSettings.xml"/><Relationship Id="rId12" Type="http://schemas.openxmlformats.org/officeDocument/2006/relationships/hyperlink" Target="http://www.legislation.gov.uk/asp/2014/8/contents/enacted" TargetMode="External"/><Relationship Id="rId17" Type="http://schemas.openxmlformats.org/officeDocument/2006/relationships/hyperlink" Target="http://www.gov.scot/Resource/0045/00458819.jp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ov.scot/Resource/0043/00438640.jpg" TargetMode="External"/><Relationship Id="rId20" Type="http://schemas.openxmlformats.org/officeDocument/2006/relationships/hyperlink" Target="http://www.gov.scot/Resource/0043/00438644.jp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scot/Resource/0049/00498276.pdf"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www.gov.scot/Resource/0043/00438638.zip" TargetMode="External"/><Relationship Id="rId23" Type="http://schemas.openxmlformats.org/officeDocument/2006/relationships/hyperlink" Target="http://www.gov.scot/Topics/People/Young-People/gettingitright/resources/case-studies" TargetMode="External"/><Relationship Id="rId10" Type="http://schemas.openxmlformats.org/officeDocument/2006/relationships/hyperlink" Target="http://www.gov.scot/Resource/0049/00498268.pdf" TargetMode="External"/><Relationship Id="rId19" Type="http://schemas.openxmlformats.org/officeDocument/2006/relationships/hyperlink" Target="http://www.gov.scot/Resource/0043/00438643.jpg" TargetMode="External"/><Relationship Id="rId4" Type="http://schemas.openxmlformats.org/officeDocument/2006/relationships/styles" Target="styles.xml"/><Relationship Id="rId9" Type="http://schemas.openxmlformats.org/officeDocument/2006/relationships/hyperlink" Target="http://www.gov.scot/Resource/0049/00498280.pdf" TargetMode="External"/><Relationship Id="rId14" Type="http://schemas.openxmlformats.org/officeDocument/2006/relationships/hyperlink" Target="http://www.gov.scot/Resource/0044/00446439.pdf" TargetMode="External"/><Relationship Id="rId22" Type="http://schemas.openxmlformats.org/officeDocument/2006/relationships/hyperlink" Target="http://www.youtube.com/watch?v=BPnM7I7Gts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F562DF070CB3489B0DC9EA5BFFDBE8" ma:contentTypeVersion="2" ma:contentTypeDescription="Create a new document." ma:contentTypeScope="" ma:versionID="578df3bf81023ccacdcf5251ea6e38ae">
  <xsd:schema xmlns:xsd="http://www.w3.org/2001/XMLSchema" xmlns:xs="http://www.w3.org/2001/XMLSchema" xmlns:p="http://schemas.microsoft.com/office/2006/metadata/properties" xmlns:ns2="c94d4b2e-a885-4f1b-b7e9-9ba9e8e6f109" targetNamespace="http://schemas.microsoft.com/office/2006/metadata/properties" ma:root="true" ma:fieldsID="2be960634095431a8fb80a945dc61931" ns2:_="">
    <xsd:import namespace="c94d4b2e-a885-4f1b-b7e9-9ba9e8e6f10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d4b2e-a885-4f1b-b7e9-9ba9e8e6f1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12AD6B-3C50-4C29-9CBD-E6D789BB2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4d4b2e-a885-4f1b-b7e9-9ba9e8e6f1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1A8C56-5B98-4F8B-9D9A-33C1E7CAAE0D}">
  <ds:schemaRefs>
    <ds:schemaRef ds:uri="http://schemas.microsoft.com/sharepoint/v3/contenttype/forms"/>
  </ds:schemaRefs>
</ds:datastoreItem>
</file>

<file path=customXml/itemProps3.xml><?xml version="1.0" encoding="utf-8"?>
<ds:datastoreItem xmlns:ds="http://schemas.openxmlformats.org/officeDocument/2006/customXml" ds:itemID="{27604A72-A93C-4B80-B204-64CF67A0D7EA}">
  <ds:schemaRefs>
    <ds:schemaRef ds:uri="c94d4b2e-a885-4f1b-b7e9-9ba9e8e6f109"/>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2006/metadata/properties"/>
    <ds:schemaRef ds:uri="http://purl.org/dc/dcmitype/"/>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3509</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Wan</dc:creator>
  <cp:lastModifiedBy>Linda Craig</cp:lastModifiedBy>
  <cp:revision>2</cp:revision>
  <dcterms:created xsi:type="dcterms:W3CDTF">2016-06-27T14:53:00Z</dcterms:created>
  <dcterms:modified xsi:type="dcterms:W3CDTF">2016-06-27T14:53:00Z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0x0101004AF562DF070CB3489B0DC9EA5BFFDBE8</vt:lpwstr>
  </property>
</Properties>
</file>